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C066B">
      <w:pPr>
        <w:spacing w:after="0" w:line="240" w:lineRule="auto"/>
        <w:ind w:left="72" w:right="72" w:firstLine="648"/>
        <w:jc w:val="center"/>
        <w:rPr>
          <w:rFonts w:ascii="Times New Roman" w:hAnsi="Times New Roman" w:eastAsia="Times New Roman"/>
          <w:sz w:val="24"/>
          <w:szCs w:val="24"/>
          <w:shd w:val="clear" w:color="auto" w:fill="FFFFFF"/>
        </w:rPr>
      </w:pPr>
      <w:bookmarkStart w:id="0" w:name="_GoBack"/>
      <w:bookmarkEnd w:id="0"/>
      <w:r>
        <w:rPr>
          <w:rFonts w:ascii="Times New Roman" w:hAnsi="Times New Roman" w:eastAsia="Times New Roman"/>
          <w:sz w:val="24"/>
          <w:szCs w:val="24"/>
          <w:shd w:val="clear" w:color="auto" w:fill="FFFFFF"/>
        </w:rPr>
        <w:t xml:space="preserve">                                                           Anexa nr. 1 </w:t>
      </w:r>
    </w:p>
    <w:p w14:paraId="50258CC9">
      <w:pPr>
        <w:spacing w:after="0" w:line="240" w:lineRule="auto"/>
        <w:ind w:left="72" w:right="72" w:firstLine="648"/>
        <w:jc w:val="both"/>
        <w:rPr>
          <w:rFonts w:ascii="Times New Roman" w:hAnsi="Times New Roman" w:eastAsia="Times New Roman"/>
          <w:sz w:val="24"/>
          <w:szCs w:val="24"/>
          <w:shd w:val="clear" w:color="auto" w:fill="FFFFFF"/>
        </w:rPr>
      </w:pPr>
    </w:p>
    <w:p w14:paraId="198FB686">
      <w:pPr>
        <w:spacing w:after="0" w:line="240" w:lineRule="auto"/>
        <w:ind w:left="72" w:right="72" w:firstLine="648"/>
        <w:jc w:val="center"/>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Prezentarea grafică și descriptivă a orașului Vașcău, județul Bihor</w:t>
      </w:r>
    </w:p>
    <w:p w14:paraId="68668878">
      <w:pPr>
        <w:spacing w:after="0" w:line="240" w:lineRule="auto"/>
        <w:ind w:left="72" w:right="72" w:firstLine="648"/>
        <w:jc w:val="both"/>
        <w:rPr>
          <w:rFonts w:ascii="Times New Roman" w:hAnsi="Times New Roman" w:eastAsia="Times New Roman"/>
          <w:sz w:val="24"/>
          <w:szCs w:val="24"/>
          <w:shd w:val="clear" w:color="auto" w:fill="FFFFFF"/>
        </w:rPr>
      </w:pPr>
    </w:p>
    <w:p w14:paraId="7265C661">
      <w:pPr>
        <w:spacing w:after="0" w:line="240" w:lineRule="auto"/>
        <w:ind w:left="72" w:right="72" w:firstLine="648"/>
        <w:jc w:val="both"/>
        <w:rPr>
          <w:rFonts w:ascii="Times New Roman" w:hAnsi="Times New Roman" w:eastAsia="Times New Roman"/>
          <w:sz w:val="24"/>
          <w:szCs w:val="24"/>
          <w:shd w:val="clear" w:color="auto" w:fill="FFFFFF"/>
        </w:rPr>
      </w:pPr>
    </w:p>
    <w:p w14:paraId="32099E87">
      <w:pPr>
        <w:spacing w:after="0" w:line="240" w:lineRule="auto"/>
        <w:ind w:left="72" w:right="72" w:firstLine="648"/>
        <w:jc w:val="both"/>
        <w:rPr>
          <w:rFonts w:ascii="Times New Roman" w:hAnsi="Times New Roman"/>
          <w:sz w:val="24"/>
          <w:szCs w:val="24"/>
        </w:rPr>
      </w:pPr>
      <w:r>
        <w:rPr>
          <w:rFonts w:ascii="Times New Roman" w:hAnsi="Times New Roman" w:eastAsia="Times New Roman"/>
          <w:sz w:val="24"/>
          <w:szCs w:val="24"/>
          <w:shd w:val="clear" w:color="auto" w:fill="FFFFFF"/>
        </w:rPr>
        <w:t>Orașul Vașcău este așezat în partea de sud-est a județului Bihor, pe DN 79, pe cursul superior al râului Crișul Negru, fiind limitat de Munții Bihorului la est si Muntii Codru-Moma la sud. Este parte componentă “Tării Beiușului”. Așezat în culoarul Depresiunii Beiușului, la nivelul căruia se realizează intrepătrunderea dintre Munții Apuseni si Câmpia de Vest, Vașcăul este poziționat la intersecția paralelei 46° 28</w:t>
      </w:r>
      <w:r>
        <w:rPr>
          <w:rFonts w:ascii="Times New Roman" w:hAnsi="Times New Roman"/>
          <w:sz w:val="24"/>
          <w:szCs w:val="24"/>
        </w:rPr>
        <w:t>′ latitudine Nordică cu meridianul de 22</w:t>
      </w:r>
      <w:r>
        <w:rPr>
          <w:rFonts w:ascii="Times New Roman" w:hAnsi="Times New Roman" w:eastAsia="Times New Roman"/>
          <w:sz w:val="24"/>
          <w:szCs w:val="24"/>
          <w:shd w:val="clear" w:color="auto" w:fill="FFFFFF"/>
        </w:rPr>
        <w:t>° 28</w:t>
      </w:r>
      <w:r>
        <w:rPr>
          <w:rFonts w:ascii="Times New Roman" w:hAnsi="Times New Roman"/>
          <w:sz w:val="24"/>
          <w:szCs w:val="24"/>
        </w:rPr>
        <w:t xml:space="preserve">′ longitudine estică. </w:t>
      </w:r>
    </w:p>
    <w:p w14:paraId="5558525E">
      <w:pPr>
        <w:spacing w:after="0" w:line="240" w:lineRule="auto"/>
        <w:ind w:left="72" w:right="72" w:firstLine="648"/>
        <w:jc w:val="both"/>
        <w:rPr>
          <w:rFonts w:ascii="Times New Roman" w:hAnsi="Times New Roman"/>
          <w:sz w:val="24"/>
          <w:szCs w:val="24"/>
        </w:rPr>
      </w:pPr>
      <w:r>
        <w:rPr>
          <w:rFonts w:ascii="Times New Roman" w:hAnsi="Times New Roman"/>
          <w:sz w:val="24"/>
          <w:szCs w:val="24"/>
        </w:rPr>
        <w:t>Vecinătățile localității Vașcău, conform planului de amplasament, sunt următoarele:</w:t>
      </w:r>
    </w:p>
    <w:p w14:paraId="2D4AA77F">
      <w:pPr>
        <w:spacing w:after="0" w:line="240" w:lineRule="auto"/>
        <w:ind w:left="72" w:right="72" w:firstLine="648"/>
        <w:jc w:val="both"/>
        <w:rPr>
          <w:rFonts w:ascii="Times New Roman" w:hAnsi="Times New Roman"/>
          <w:sz w:val="24"/>
          <w:szCs w:val="24"/>
        </w:rPr>
      </w:pPr>
      <w:r>
        <w:rPr>
          <w:rFonts w:ascii="Times New Roman" w:hAnsi="Times New Roman"/>
          <w:sz w:val="24"/>
          <w:szCs w:val="24"/>
        </w:rPr>
        <w:t>- comuna Lunca, judetul Bihor, la nord;</w:t>
      </w:r>
    </w:p>
    <w:p w14:paraId="4D441356">
      <w:pPr>
        <w:spacing w:after="0" w:line="240" w:lineRule="auto"/>
        <w:ind w:left="72" w:right="72" w:firstLine="648"/>
        <w:jc w:val="both"/>
        <w:rPr>
          <w:rFonts w:ascii="Times New Roman" w:hAnsi="Times New Roman"/>
          <w:sz w:val="24"/>
          <w:szCs w:val="24"/>
        </w:rPr>
      </w:pPr>
      <w:r>
        <w:rPr>
          <w:rFonts w:ascii="Times New Roman" w:hAnsi="Times New Roman"/>
          <w:sz w:val="24"/>
          <w:szCs w:val="24"/>
        </w:rPr>
        <w:t>- orasul Nucet, judetul Bihor, la est;</w:t>
      </w:r>
    </w:p>
    <w:p w14:paraId="32077FCA">
      <w:pPr>
        <w:spacing w:after="0" w:line="240" w:lineRule="auto"/>
        <w:ind w:left="72" w:right="72" w:firstLine="648"/>
        <w:jc w:val="both"/>
        <w:rPr>
          <w:rFonts w:ascii="Times New Roman" w:hAnsi="Times New Roman"/>
          <w:sz w:val="24"/>
          <w:szCs w:val="24"/>
        </w:rPr>
      </w:pPr>
      <w:r>
        <w:rPr>
          <w:rFonts w:ascii="Times New Roman" w:hAnsi="Times New Roman"/>
          <w:sz w:val="24"/>
          <w:szCs w:val="24"/>
        </w:rPr>
        <w:t>- comuna Cărpinet, judetul Bihor, la sud;</w:t>
      </w:r>
    </w:p>
    <w:p w14:paraId="1A38C831">
      <w:pPr>
        <w:spacing w:after="0" w:line="240" w:lineRule="auto"/>
        <w:ind w:left="72" w:right="72" w:firstLine="648"/>
        <w:jc w:val="both"/>
        <w:rPr>
          <w:rFonts w:ascii="Times New Roman" w:hAnsi="Times New Roman"/>
          <w:sz w:val="24"/>
          <w:szCs w:val="24"/>
        </w:rPr>
      </w:pPr>
      <w:r>
        <w:rPr>
          <w:rFonts w:ascii="Times New Roman" w:hAnsi="Times New Roman"/>
          <w:sz w:val="24"/>
          <w:szCs w:val="24"/>
        </w:rPr>
        <w:t>- comuna Dezna, judetul Arad, la vest;</w:t>
      </w:r>
    </w:p>
    <w:p w14:paraId="489E3949">
      <w:pPr>
        <w:spacing w:after="0" w:line="240" w:lineRule="auto"/>
        <w:ind w:left="72" w:right="72" w:firstLine="648"/>
        <w:jc w:val="both"/>
        <w:rPr>
          <w:rFonts w:ascii="Times New Roman" w:hAnsi="Times New Roman"/>
          <w:sz w:val="24"/>
          <w:szCs w:val="24"/>
        </w:rPr>
      </w:pPr>
      <w:r>
        <w:rPr>
          <w:rFonts w:ascii="Times New Roman" w:hAnsi="Times New Roman"/>
          <w:sz w:val="24"/>
          <w:szCs w:val="24"/>
        </w:rPr>
        <w:t>- comuna Moneasa, judetul Arad, la vest.</w:t>
      </w:r>
    </w:p>
    <w:p w14:paraId="1B6B9C5B">
      <w:pPr>
        <w:spacing w:after="0" w:line="240" w:lineRule="auto"/>
        <w:ind w:left="72" w:right="72" w:firstLine="648"/>
        <w:jc w:val="both"/>
        <w:rPr>
          <w:rFonts w:ascii="Times New Roman" w:hAnsi="Times New Roman"/>
          <w:sz w:val="24"/>
          <w:szCs w:val="24"/>
        </w:rPr>
      </w:pPr>
    </w:p>
    <w:p w14:paraId="3AA19877">
      <w:pPr>
        <w:spacing w:after="0" w:line="240" w:lineRule="auto"/>
        <w:ind w:left="72" w:right="72" w:firstLine="648"/>
        <w:jc w:val="both"/>
        <w:rPr>
          <w:rFonts w:ascii="Times New Roman" w:hAnsi="Times New Roman"/>
          <w:sz w:val="24"/>
          <w:szCs w:val="24"/>
        </w:rPr>
      </w:pPr>
      <w:r>
        <w:rPr>
          <w:rFonts w:ascii="Times New Roman" w:hAnsi="Times New Roman"/>
          <w:sz w:val="24"/>
          <w:szCs w:val="24"/>
        </w:rPr>
        <w:t>Suprafața totală a teritoriului  oraşului Vaşcău  este de 6504 ha  din care suprafaţa  de  3947,56 ha este  teren agricol  , suprafaţa de 376,63 ha teren neagricol  şi suprafaţa  de  2179,81 ha  teren forestier  , populația  orașului Vașcău  fără localitățile  aparținătoare este de 1781 locuitori.</w:t>
      </w:r>
    </w:p>
    <w:p w14:paraId="7BE1F8D2">
      <w:pPr>
        <w:spacing w:after="0" w:line="240" w:lineRule="auto"/>
        <w:ind w:left="72" w:right="72" w:firstLine="648"/>
        <w:jc w:val="both"/>
        <w:rPr>
          <w:rFonts w:ascii="Times New Roman" w:hAnsi="Times New Roman" w:eastAsia="Times New Roman"/>
          <w:sz w:val="24"/>
          <w:szCs w:val="24"/>
          <w:shd w:val="clear" w:color="auto" w:fill="FFFFFF"/>
        </w:rPr>
      </w:pPr>
    </w:p>
    <w:tbl>
      <w:tblPr>
        <w:tblStyle w:val="4"/>
        <w:tblW w:w="0" w:type="auto"/>
        <w:tblInd w:w="19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1530"/>
      </w:tblGrid>
      <w:tr w14:paraId="51D0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0212DF13">
            <w:pPr>
              <w:spacing w:after="0" w:line="240" w:lineRule="auto"/>
              <w:jc w:val="both"/>
              <w:rPr>
                <w:rFonts w:ascii="Times New Roman" w:hAnsi="Times New Roman"/>
                <w:sz w:val="24"/>
                <w:szCs w:val="24"/>
              </w:rPr>
            </w:pPr>
          </w:p>
        </w:tc>
        <w:tc>
          <w:tcPr>
            <w:tcW w:w="1530" w:type="dxa"/>
            <w:shd w:val="clear" w:color="auto" w:fill="auto"/>
            <w:noWrap w:val="0"/>
            <w:vAlign w:val="top"/>
          </w:tcPr>
          <w:p w14:paraId="66BFCC77">
            <w:pPr>
              <w:spacing w:after="0" w:line="240" w:lineRule="auto"/>
              <w:jc w:val="both"/>
              <w:rPr>
                <w:rFonts w:ascii="Times New Roman" w:hAnsi="Times New Roman"/>
                <w:sz w:val="24"/>
                <w:szCs w:val="24"/>
              </w:rPr>
            </w:pPr>
            <w:r>
              <w:rPr>
                <w:rFonts w:ascii="Times New Roman" w:hAnsi="Times New Roman"/>
                <w:sz w:val="24"/>
                <w:szCs w:val="24"/>
              </w:rPr>
              <w:t xml:space="preserve">  Total ha</w:t>
            </w:r>
          </w:p>
        </w:tc>
      </w:tr>
      <w:tr w14:paraId="6358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450B4F49">
            <w:pPr>
              <w:spacing w:after="0" w:line="240" w:lineRule="auto"/>
              <w:jc w:val="both"/>
              <w:rPr>
                <w:rFonts w:ascii="Times New Roman" w:hAnsi="Times New Roman"/>
                <w:b/>
                <w:sz w:val="24"/>
                <w:szCs w:val="24"/>
              </w:rPr>
            </w:pPr>
            <w:r>
              <w:rPr>
                <w:rFonts w:ascii="Times New Roman" w:hAnsi="Times New Roman"/>
                <w:b/>
                <w:sz w:val="24"/>
                <w:szCs w:val="24"/>
              </w:rPr>
              <w:t xml:space="preserve">      Suprafața totală</w:t>
            </w:r>
          </w:p>
        </w:tc>
        <w:tc>
          <w:tcPr>
            <w:tcW w:w="1530" w:type="dxa"/>
            <w:shd w:val="clear" w:color="auto" w:fill="auto"/>
            <w:noWrap w:val="0"/>
            <w:vAlign w:val="top"/>
          </w:tcPr>
          <w:p w14:paraId="38A349F4">
            <w:pPr>
              <w:spacing w:after="0" w:line="240" w:lineRule="auto"/>
              <w:rPr>
                <w:rFonts w:ascii="Times New Roman" w:hAnsi="Times New Roman"/>
                <w:b/>
                <w:sz w:val="24"/>
                <w:szCs w:val="24"/>
              </w:rPr>
            </w:pPr>
            <w:r>
              <w:rPr>
                <w:rFonts w:ascii="Times New Roman" w:hAnsi="Times New Roman"/>
                <w:b/>
                <w:sz w:val="24"/>
                <w:szCs w:val="24"/>
              </w:rPr>
              <w:t xml:space="preserve">     6504</w:t>
            </w:r>
          </w:p>
        </w:tc>
      </w:tr>
      <w:tr w14:paraId="60CE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2C287890">
            <w:pPr>
              <w:spacing w:after="0" w:line="240" w:lineRule="auto"/>
              <w:jc w:val="both"/>
              <w:rPr>
                <w:rFonts w:ascii="Times New Roman" w:hAnsi="Times New Roman"/>
                <w:sz w:val="24"/>
                <w:szCs w:val="24"/>
              </w:rPr>
            </w:pPr>
            <w:r>
              <w:rPr>
                <w:rFonts w:ascii="Times New Roman" w:hAnsi="Times New Roman"/>
                <w:sz w:val="24"/>
                <w:szCs w:val="24"/>
              </w:rPr>
              <w:t>Suprafața Agricolă, din care:</w:t>
            </w:r>
          </w:p>
        </w:tc>
        <w:tc>
          <w:tcPr>
            <w:tcW w:w="1530" w:type="dxa"/>
            <w:shd w:val="clear" w:color="auto" w:fill="auto"/>
            <w:noWrap w:val="0"/>
            <w:vAlign w:val="top"/>
          </w:tcPr>
          <w:p w14:paraId="3AC44D0D">
            <w:pPr>
              <w:spacing w:after="0" w:line="240" w:lineRule="auto"/>
              <w:jc w:val="center"/>
              <w:rPr>
                <w:rFonts w:ascii="Times New Roman" w:hAnsi="Times New Roman"/>
                <w:sz w:val="24"/>
                <w:szCs w:val="24"/>
              </w:rPr>
            </w:pPr>
            <w:r>
              <w:rPr>
                <w:rFonts w:ascii="Times New Roman" w:hAnsi="Times New Roman"/>
                <w:sz w:val="24"/>
                <w:szCs w:val="24"/>
              </w:rPr>
              <w:t>3947,56</w:t>
            </w:r>
          </w:p>
        </w:tc>
      </w:tr>
      <w:tr w14:paraId="0B89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28976EC3">
            <w:pPr>
              <w:spacing w:after="0" w:line="240" w:lineRule="auto"/>
              <w:jc w:val="both"/>
              <w:rPr>
                <w:rFonts w:ascii="Times New Roman" w:hAnsi="Times New Roman"/>
                <w:sz w:val="24"/>
                <w:szCs w:val="24"/>
              </w:rPr>
            </w:pPr>
            <w:r>
              <w:rPr>
                <w:rFonts w:ascii="Times New Roman" w:hAnsi="Times New Roman"/>
                <w:sz w:val="24"/>
                <w:szCs w:val="24"/>
              </w:rPr>
              <w:t xml:space="preserve">      Arabil</w:t>
            </w:r>
          </w:p>
        </w:tc>
        <w:tc>
          <w:tcPr>
            <w:tcW w:w="1530" w:type="dxa"/>
            <w:shd w:val="clear" w:color="auto" w:fill="auto"/>
            <w:noWrap w:val="0"/>
            <w:vAlign w:val="top"/>
          </w:tcPr>
          <w:p w14:paraId="7EFD4DAD">
            <w:pPr>
              <w:spacing w:after="0" w:line="240" w:lineRule="auto"/>
              <w:rPr>
                <w:rFonts w:ascii="Times New Roman" w:hAnsi="Times New Roman"/>
                <w:sz w:val="24"/>
                <w:szCs w:val="24"/>
              </w:rPr>
            </w:pPr>
            <w:r>
              <w:rPr>
                <w:rFonts w:ascii="Times New Roman" w:hAnsi="Times New Roman"/>
                <w:sz w:val="24"/>
                <w:szCs w:val="24"/>
              </w:rPr>
              <w:t xml:space="preserve">      863,56</w:t>
            </w:r>
          </w:p>
        </w:tc>
      </w:tr>
      <w:tr w14:paraId="7DF5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43EA56AA">
            <w:pPr>
              <w:spacing w:after="0" w:line="240" w:lineRule="auto"/>
              <w:jc w:val="both"/>
              <w:rPr>
                <w:rFonts w:ascii="Times New Roman" w:hAnsi="Times New Roman"/>
                <w:sz w:val="24"/>
                <w:szCs w:val="24"/>
              </w:rPr>
            </w:pPr>
            <w:r>
              <w:rPr>
                <w:rFonts w:ascii="Times New Roman" w:hAnsi="Times New Roman"/>
                <w:sz w:val="24"/>
                <w:szCs w:val="24"/>
              </w:rPr>
              <w:t xml:space="preserve">      Păsuni</w:t>
            </w:r>
          </w:p>
        </w:tc>
        <w:tc>
          <w:tcPr>
            <w:tcW w:w="1530" w:type="dxa"/>
            <w:shd w:val="clear" w:color="auto" w:fill="auto"/>
            <w:noWrap w:val="0"/>
            <w:vAlign w:val="top"/>
          </w:tcPr>
          <w:p w14:paraId="2E442562">
            <w:pPr>
              <w:spacing w:after="0" w:line="240" w:lineRule="auto"/>
              <w:jc w:val="center"/>
              <w:rPr>
                <w:rFonts w:ascii="Times New Roman" w:hAnsi="Times New Roman"/>
                <w:sz w:val="24"/>
                <w:szCs w:val="24"/>
              </w:rPr>
            </w:pPr>
            <w:r>
              <w:rPr>
                <w:rFonts w:ascii="Times New Roman" w:hAnsi="Times New Roman"/>
                <w:sz w:val="24"/>
                <w:szCs w:val="24"/>
              </w:rPr>
              <w:t>2087</w:t>
            </w:r>
          </w:p>
        </w:tc>
      </w:tr>
      <w:tr w14:paraId="419E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3E84F58F">
            <w:pPr>
              <w:spacing w:after="0" w:line="240" w:lineRule="auto"/>
              <w:jc w:val="both"/>
              <w:rPr>
                <w:rFonts w:ascii="Times New Roman" w:hAnsi="Times New Roman"/>
                <w:sz w:val="24"/>
                <w:szCs w:val="24"/>
              </w:rPr>
            </w:pPr>
            <w:r>
              <w:rPr>
                <w:rFonts w:ascii="Times New Roman" w:hAnsi="Times New Roman"/>
                <w:sz w:val="24"/>
                <w:szCs w:val="24"/>
              </w:rPr>
              <w:t xml:space="preserve">      Fânete</w:t>
            </w:r>
          </w:p>
        </w:tc>
        <w:tc>
          <w:tcPr>
            <w:tcW w:w="1530" w:type="dxa"/>
            <w:shd w:val="clear" w:color="auto" w:fill="auto"/>
            <w:noWrap w:val="0"/>
            <w:vAlign w:val="top"/>
          </w:tcPr>
          <w:p w14:paraId="3F8B9A8B">
            <w:pPr>
              <w:spacing w:after="0" w:line="240" w:lineRule="auto"/>
              <w:jc w:val="center"/>
              <w:rPr>
                <w:rFonts w:ascii="Times New Roman" w:hAnsi="Times New Roman"/>
                <w:sz w:val="24"/>
                <w:szCs w:val="24"/>
              </w:rPr>
            </w:pPr>
            <w:r>
              <w:rPr>
                <w:rFonts w:ascii="Times New Roman" w:hAnsi="Times New Roman"/>
                <w:sz w:val="24"/>
                <w:szCs w:val="24"/>
              </w:rPr>
              <w:t>997</w:t>
            </w:r>
          </w:p>
        </w:tc>
      </w:tr>
      <w:tr w14:paraId="677A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44F87B22">
            <w:pPr>
              <w:spacing w:after="0" w:line="240" w:lineRule="auto"/>
              <w:jc w:val="both"/>
              <w:rPr>
                <w:rFonts w:ascii="Times New Roman" w:hAnsi="Times New Roman"/>
                <w:sz w:val="24"/>
                <w:szCs w:val="24"/>
              </w:rPr>
            </w:pPr>
            <w:r>
              <w:rPr>
                <w:rFonts w:ascii="Times New Roman" w:hAnsi="Times New Roman"/>
                <w:sz w:val="24"/>
                <w:szCs w:val="24"/>
              </w:rPr>
              <w:t xml:space="preserve">      Vii si pepiniere viticole</w:t>
            </w:r>
          </w:p>
        </w:tc>
        <w:tc>
          <w:tcPr>
            <w:tcW w:w="1530" w:type="dxa"/>
            <w:shd w:val="clear" w:color="auto" w:fill="auto"/>
            <w:noWrap w:val="0"/>
            <w:vAlign w:val="top"/>
          </w:tcPr>
          <w:p w14:paraId="0BDD33BF">
            <w:pPr>
              <w:spacing w:after="0" w:line="240" w:lineRule="auto"/>
              <w:jc w:val="center"/>
              <w:rPr>
                <w:rFonts w:ascii="Times New Roman" w:hAnsi="Times New Roman"/>
                <w:sz w:val="24"/>
                <w:szCs w:val="24"/>
              </w:rPr>
            </w:pPr>
            <w:r>
              <w:rPr>
                <w:rFonts w:ascii="Times New Roman" w:hAnsi="Times New Roman"/>
                <w:sz w:val="24"/>
                <w:szCs w:val="24"/>
              </w:rPr>
              <w:t>0</w:t>
            </w:r>
          </w:p>
        </w:tc>
      </w:tr>
      <w:tr w14:paraId="3BE8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37E87FA2">
            <w:pPr>
              <w:spacing w:after="0" w:line="240" w:lineRule="auto"/>
              <w:jc w:val="both"/>
              <w:rPr>
                <w:rFonts w:ascii="Times New Roman" w:hAnsi="Times New Roman"/>
                <w:sz w:val="24"/>
                <w:szCs w:val="24"/>
              </w:rPr>
            </w:pPr>
            <w:r>
              <w:rPr>
                <w:rFonts w:ascii="Times New Roman" w:hAnsi="Times New Roman"/>
                <w:sz w:val="24"/>
                <w:szCs w:val="24"/>
              </w:rPr>
              <w:t xml:space="preserve">      Livezi si pepiniere</w:t>
            </w:r>
          </w:p>
        </w:tc>
        <w:tc>
          <w:tcPr>
            <w:tcW w:w="1530" w:type="dxa"/>
            <w:shd w:val="clear" w:color="auto" w:fill="auto"/>
            <w:noWrap w:val="0"/>
            <w:vAlign w:val="top"/>
          </w:tcPr>
          <w:p w14:paraId="564CCD8F">
            <w:pPr>
              <w:spacing w:after="0" w:line="240" w:lineRule="auto"/>
              <w:jc w:val="center"/>
              <w:rPr>
                <w:rFonts w:ascii="Times New Roman" w:hAnsi="Times New Roman"/>
                <w:sz w:val="24"/>
                <w:szCs w:val="24"/>
              </w:rPr>
            </w:pPr>
            <w:r>
              <w:rPr>
                <w:rFonts w:ascii="Times New Roman" w:hAnsi="Times New Roman"/>
                <w:sz w:val="24"/>
                <w:szCs w:val="24"/>
              </w:rPr>
              <w:t>0</w:t>
            </w:r>
          </w:p>
        </w:tc>
      </w:tr>
      <w:tr w14:paraId="2922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4860" w:type="dxa"/>
            <w:shd w:val="clear" w:color="auto" w:fill="auto"/>
            <w:noWrap w:val="0"/>
            <w:vAlign w:val="top"/>
          </w:tcPr>
          <w:p w14:paraId="08F9AE9B">
            <w:pPr>
              <w:spacing w:after="0" w:line="240" w:lineRule="auto"/>
              <w:jc w:val="both"/>
              <w:rPr>
                <w:rFonts w:ascii="Times New Roman" w:hAnsi="Times New Roman"/>
                <w:sz w:val="24"/>
                <w:szCs w:val="24"/>
              </w:rPr>
            </w:pPr>
            <w:r>
              <w:rPr>
                <w:rFonts w:ascii="Times New Roman" w:hAnsi="Times New Roman"/>
                <w:sz w:val="24"/>
                <w:szCs w:val="24"/>
              </w:rPr>
              <w:t xml:space="preserve">      Păduri si alte terenuri cu vegetatie forestiera</w:t>
            </w:r>
          </w:p>
        </w:tc>
        <w:tc>
          <w:tcPr>
            <w:tcW w:w="1530" w:type="dxa"/>
            <w:shd w:val="clear" w:color="auto" w:fill="auto"/>
            <w:noWrap w:val="0"/>
            <w:vAlign w:val="top"/>
          </w:tcPr>
          <w:p w14:paraId="538C0BD4">
            <w:pPr>
              <w:spacing w:after="0" w:line="240" w:lineRule="auto"/>
              <w:rPr>
                <w:rFonts w:ascii="Times New Roman" w:hAnsi="Times New Roman"/>
                <w:sz w:val="24"/>
                <w:szCs w:val="24"/>
              </w:rPr>
            </w:pPr>
            <w:r>
              <w:rPr>
                <w:rFonts w:ascii="Times New Roman" w:hAnsi="Times New Roman"/>
                <w:sz w:val="24"/>
                <w:szCs w:val="24"/>
              </w:rPr>
              <w:t xml:space="preserve">   2179,81</w:t>
            </w:r>
          </w:p>
        </w:tc>
      </w:tr>
    </w:tbl>
    <w:p w14:paraId="053E2421">
      <w:pPr>
        <w:jc w:val="both"/>
        <w:rPr>
          <w:rFonts w:ascii="Times New Roman" w:hAnsi="Times New Roman"/>
          <w:sz w:val="24"/>
          <w:szCs w:val="24"/>
        </w:rPr>
      </w:pPr>
      <w:r>
        <w:rPr>
          <w:rFonts w:ascii="Times New Roman" w:hAnsi="Times New Roman"/>
          <w:sz w:val="24"/>
          <w:szCs w:val="24"/>
        </w:rPr>
        <w:tab/>
      </w:r>
    </w:p>
    <w:p w14:paraId="5699A788">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Localitătile componente ale orașului Vașcău sunt: </w:t>
      </w:r>
    </w:p>
    <w:p w14:paraId="05580964">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  - Câmp;</w:t>
      </w:r>
    </w:p>
    <w:p w14:paraId="63D62222">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  - Câmp-Moti;</w:t>
      </w:r>
    </w:p>
    <w:p w14:paraId="51E95777">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  - Colesti;</w:t>
      </w:r>
    </w:p>
    <w:p w14:paraId="4D3A129E">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 - Vărzarii de Jos;</w:t>
      </w:r>
    </w:p>
    <w:p w14:paraId="10CA24AB">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 xml:space="preserve"> - Vărzarii de Sus.</w:t>
      </w:r>
    </w:p>
    <w:p w14:paraId="668D48B6">
      <w:pPr>
        <w:spacing w:after="0" w:line="240" w:lineRule="auto"/>
        <w:ind w:left="72" w:right="72" w:firstLine="648"/>
        <w:jc w:val="both"/>
        <w:rPr>
          <w:rFonts w:ascii="Times New Roman" w:hAnsi="Times New Roman" w:eastAsia="Times New Roman"/>
          <w:sz w:val="24"/>
          <w:szCs w:val="24"/>
          <w:shd w:val="clear" w:color="auto" w:fill="FFFFFF"/>
        </w:rPr>
      </w:pPr>
    </w:p>
    <w:p w14:paraId="1211277A">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b/>
          <w:sz w:val="24"/>
          <w:szCs w:val="24"/>
          <w:shd w:val="clear" w:color="auto" w:fill="FFFFFF"/>
        </w:rPr>
        <w:t>Satul Câmp</w:t>
      </w:r>
      <w:r>
        <w:rPr>
          <w:rFonts w:ascii="Times New Roman" w:hAnsi="Times New Roman" w:eastAsia="Times New Roman"/>
          <w:sz w:val="24"/>
          <w:szCs w:val="24"/>
          <w:shd w:val="clear" w:color="auto" w:fill="FFFFFF"/>
        </w:rPr>
        <w:t>, situat la vest față de localitatea de reședinta, are o populație de 249 locuitori,</w:t>
      </w:r>
      <w:r>
        <w:rPr>
          <w:rFonts w:ascii="Times New Roman" w:hAnsi="Times New Roman" w:eastAsia="Times New Roman"/>
          <w:color w:val="FF0000"/>
          <w:sz w:val="24"/>
          <w:szCs w:val="24"/>
          <w:shd w:val="clear" w:color="auto" w:fill="FFFFFF"/>
        </w:rPr>
        <w:t xml:space="preserve"> </w:t>
      </w:r>
      <w:r>
        <w:rPr>
          <w:rFonts w:ascii="Times New Roman" w:hAnsi="Times New Roman" w:eastAsia="Times New Roman"/>
          <w:sz w:val="24"/>
          <w:szCs w:val="24"/>
          <w:shd w:val="clear" w:color="auto" w:fill="FFFFFF"/>
        </w:rPr>
        <w:t>coordonate geografice 46°28’11”N 22°26’44”E, cod SIRUTA 27025, cod poștal 415801.</w:t>
      </w:r>
    </w:p>
    <w:p w14:paraId="3516F6B9">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b/>
          <w:sz w:val="24"/>
          <w:szCs w:val="24"/>
          <w:shd w:val="clear" w:color="auto" w:fill="FFFFFF"/>
        </w:rPr>
        <w:t xml:space="preserve">Satul Câmp-Moți, </w:t>
      </w:r>
      <w:r>
        <w:rPr>
          <w:rFonts w:ascii="Times New Roman" w:hAnsi="Times New Roman" w:eastAsia="Times New Roman"/>
          <w:sz w:val="24"/>
          <w:szCs w:val="24"/>
          <w:shd w:val="clear" w:color="auto" w:fill="FFFFFF"/>
        </w:rPr>
        <w:t>situat la vest față de localitatea de reședință, are o populație de 44 de locuitori, coordonate geografice 46°27’47”N 22°24’56”E, cod SIRUTA 27034, cod postal 415802.</w:t>
      </w:r>
    </w:p>
    <w:p w14:paraId="669C8B1E">
      <w:pPr>
        <w:spacing w:after="0" w:line="240" w:lineRule="auto"/>
        <w:ind w:left="72" w:right="72" w:firstLine="648"/>
        <w:jc w:val="both"/>
        <w:rPr>
          <w:rFonts w:ascii="Times New Roman" w:hAnsi="Times New Roman" w:eastAsia="Times New Roman"/>
          <w:sz w:val="24"/>
          <w:szCs w:val="24"/>
          <w:shd w:val="clear" w:color="auto" w:fill="FFFFFF"/>
        </w:rPr>
      </w:pPr>
      <w:r>
        <w:rPr>
          <w:rFonts w:ascii="Times New Roman" w:hAnsi="Times New Roman" w:eastAsia="Times New Roman"/>
          <w:b/>
          <w:sz w:val="24"/>
          <w:szCs w:val="24"/>
          <w:shd w:val="clear" w:color="auto" w:fill="FFFFFF"/>
        </w:rPr>
        <w:t>Satul Colesti</w:t>
      </w:r>
      <w:r>
        <w:rPr>
          <w:rFonts w:ascii="Times New Roman" w:hAnsi="Times New Roman" w:eastAsia="Times New Roman"/>
          <w:sz w:val="24"/>
          <w:szCs w:val="24"/>
          <w:shd w:val="clear" w:color="auto" w:fill="FFFFFF"/>
        </w:rPr>
        <w:t>, situat la vest față de localitatea de reședintă, are o populație de 141 locuitori,</w:t>
      </w:r>
      <w:r>
        <w:rPr>
          <w:rFonts w:ascii="Times New Roman" w:hAnsi="Times New Roman" w:eastAsia="Times New Roman"/>
          <w:color w:val="FF0000"/>
          <w:sz w:val="24"/>
          <w:szCs w:val="24"/>
          <w:shd w:val="clear" w:color="auto" w:fill="FFFFFF"/>
        </w:rPr>
        <w:t xml:space="preserve"> </w:t>
      </w:r>
      <w:r>
        <w:rPr>
          <w:rFonts w:ascii="Times New Roman" w:hAnsi="Times New Roman" w:eastAsia="Times New Roman"/>
          <w:sz w:val="24"/>
          <w:szCs w:val="24"/>
          <w:shd w:val="clear" w:color="auto" w:fill="FFFFFF"/>
        </w:rPr>
        <w:t>coordonate geografice  46°28’44”N 22°25’25”E, cod SIRUTA 27043, cod poștal 415803.</w:t>
      </w:r>
    </w:p>
    <w:p w14:paraId="11749F05">
      <w:pPr>
        <w:spacing w:after="0" w:line="240" w:lineRule="auto"/>
        <w:ind w:left="72" w:right="72" w:firstLine="648"/>
        <w:jc w:val="both"/>
        <w:rPr>
          <w:rFonts w:ascii="Times New Roman" w:hAnsi="Times New Roman" w:eastAsia="Times New Roman"/>
          <w:sz w:val="23"/>
          <w:szCs w:val="23"/>
          <w:shd w:val="clear" w:color="auto" w:fill="FFFFFF"/>
        </w:rPr>
      </w:pPr>
      <w:r>
        <w:rPr>
          <w:rFonts w:ascii="Times New Roman" w:hAnsi="Times New Roman" w:eastAsia="Times New Roman"/>
          <w:b/>
          <w:sz w:val="23"/>
          <w:szCs w:val="23"/>
          <w:shd w:val="clear" w:color="auto" w:fill="FFFFFF"/>
        </w:rPr>
        <w:t>Satul Vărzarii de Jos</w:t>
      </w:r>
      <w:r>
        <w:rPr>
          <w:rFonts w:ascii="Times New Roman" w:hAnsi="Times New Roman" w:eastAsia="Times New Roman"/>
          <w:sz w:val="23"/>
          <w:szCs w:val="23"/>
          <w:shd w:val="clear" w:color="auto" w:fill="FFFFFF"/>
        </w:rPr>
        <w:t>, situat la est față de localitatea de resedință, are o populatie de 162 locuitori, coordinate geografice  46°29’22”N 22°30’1”E, cod SIRUTA 27052, cod postal 415804.</w:t>
      </w:r>
    </w:p>
    <w:p w14:paraId="2814739F">
      <w:pPr>
        <w:spacing w:after="0" w:line="240" w:lineRule="auto"/>
        <w:ind w:left="72" w:right="72" w:firstLine="648"/>
        <w:jc w:val="both"/>
        <w:rPr>
          <w:rFonts w:ascii="Times New Roman" w:hAnsi="Times New Roman" w:eastAsia="Times New Roman"/>
          <w:sz w:val="23"/>
          <w:szCs w:val="23"/>
          <w:shd w:val="clear" w:color="auto" w:fill="FFFFFF"/>
        </w:rPr>
      </w:pPr>
      <w:r>
        <w:rPr>
          <w:rFonts w:ascii="Times New Roman" w:hAnsi="Times New Roman" w:eastAsia="Times New Roman"/>
          <w:b/>
          <w:sz w:val="23"/>
          <w:szCs w:val="23"/>
          <w:shd w:val="clear" w:color="auto" w:fill="FFFFFF"/>
        </w:rPr>
        <w:t>Satul Varzarii de Sus</w:t>
      </w:r>
      <w:r>
        <w:rPr>
          <w:rFonts w:ascii="Times New Roman" w:hAnsi="Times New Roman" w:eastAsia="Times New Roman"/>
          <w:sz w:val="23"/>
          <w:szCs w:val="23"/>
          <w:shd w:val="clear" w:color="auto" w:fill="FFFFFF"/>
        </w:rPr>
        <w:t>, situat la est fata de localitatea de resedinta, are o populatie de 185 locuitori, coordinate geografice 46°28’27”N 22°30’59”E, cod SIRUTA 27061, cod postal 415805.</w:t>
      </w:r>
    </w:p>
    <w:p w14:paraId="6D73FDC1">
      <w:pPr>
        <w:spacing w:after="0" w:line="240" w:lineRule="auto"/>
        <w:ind w:left="72" w:right="72" w:firstLine="648"/>
        <w:jc w:val="both"/>
        <w:rPr>
          <w:rFonts w:ascii="Times New Roman" w:hAnsi="Times New Roman" w:eastAsia="Times New Roman"/>
          <w:sz w:val="23"/>
          <w:szCs w:val="23"/>
          <w:shd w:val="clear" w:color="auto" w:fill="FFFFFF"/>
        </w:rPr>
      </w:pPr>
    </w:p>
    <w:p w14:paraId="1208ABC0">
      <w:pPr>
        <w:spacing w:after="0" w:line="240" w:lineRule="auto"/>
        <w:ind w:left="72" w:right="72" w:firstLine="648"/>
        <w:jc w:val="both"/>
        <w:rPr>
          <w:rFonts w:ascii="Times New Roman" w:hAnsi="Times New Roman" w:eastAsia="Times New Roman"/>
          <w:sz w:val="23"/>
          <w:szCs w:val="23"/>
          <w:shd w:val="clear" w:color="auto" w:fill="FFFFFF"/>
        </w:rPr>
      </w:pPr>
    </w:p>
    <w:p w14:paraId="1CF52F07">
      <w:pPr>
        <w:pStyle w:val="8"/>
        <w:spacing w:before="0" w:beforeAutospacing="0" w:after="0" w:afterAutospacing="0"/>
        <w:rPr>
          <w:b/>
        </w:rPr>
      </w:pPr>
      <w:r>
        <w:t xml:space="preserve">             </w:t>
      </w:r>
      <w:r>
        <w:rPr>
          <w:b/>
        </w:rPr>
        <w:t>Relieful orașului Vașcău</w:t>
      </w:r>
    </w:p>
    <w:p w14:paraId="600E937A">
      <w:pPr>
        <w:pStyle w:val="8"/>
        <w:spacing w:before="0" w:beforeAutospacing="0" w:after="0" w:afterAutospacing="0"/>
      </w:pPr>
    </w:p>
    <w:p w14:paraId="63D016A6">
      <w:pPr>
        <w:pStyle w:val="8"/>
        <w:spacing w:before="0" w:beforeAutospacing="0" w:after="0" w:afterAutospacing="0"/>
        <w:ind w:firstLine="720"/>
        <w:jc w:val="both"/>
        <w:rPr>
          <w:color w:val="000000"/>
        </w:rPr>
      </w:pPr>
      <w:r>
        <w:t xml:space="preserve">Se disting, în cadrul reliefului, următoarele unități: </w:t>
      </w:r>
      <w:r>
        <w:fldChar w:fldCharType="begin"/>
      </w:r>
      <w:r>
        <w:instrText xml:space="preserve"> HYPERLINK "http://ro.wikipedia.org/w/index.php?title=Mun%C8%9Bii_Biharia&amp;action=edit&amp;redlink=1" \o "Munții Biharia — pagină inexistentă" </w:instrText>
      </w:r>
      <w:r>
        <w:fldChar w:fldCharType="separate"/>
      </w:r>
      <w:r>
        <w:rPr>
          <w:rStyle w:val="7"/>
          <w:color w:val="000000"/>
          <w:u w:val="none"/>
        </w:rPr>
        <w:t>Munții Biharia</w:t>
      </w:r>
      <w:r>
        <w:rPr>
          <w:rStyle w:val="7"/>
          <w:color w:val="000000"/>
          <w:u w:val="none"/>
        </w:rPr>
        <w:fldChar w:fldCharType="end"/>
      </w:r>
      <w:r>
        <w:rPr>
          <w:color w:val="000000"/>
        </w:rPr>
        <w:t xml:space="preserve">, </w:t>
      </w:r>
      <w:r>
        <w:fldChar w:fldCharType="begin"/>
      </w:r>
      <w:r>
        <w:instrText xml:space="preserve"> HYPERLINK "http://ro.wikipedia.org/wiki/Mun%C8%9Bii_Codru-Moma" \o "Munții Codru-Moma" </w:instrText>
      </w:r>
      <w:r>
        <w:fldChar w:fldCharType="separate"/>
      </w:r>
      <w:r>
        <w:rPr>
          <w:rStyle w:val="7"/>
          <w:color w:val="000000"/>
          <w:u w:val="none"/>
        </w:rPr>
        <w:t>Munții Codru-Moma</w:t>
      </w:r>
      <w:r>
        <w:rPr>
          <w:rStyle w:val="7"/>
          <w:color w:val="000000"/>
          <w:u w:val="none"/>
        </w:rPr>
        <w:fldChar w:fldCharType="end"/>
      </w:r>
      <w:r>
        <w:rPr>
          <w:color w:val="000000"/>
        </w:rPr>
        <w:t xml:space="preserve">, </w:t>
      </w:r>
      <w:r>
        <w:fldChar w:fldCharType="begin"/>
      </w:r>
      <w:r>
        <w:instrText xml:space="preserve"> HYPERLINK "http://ro.wikipedia.org/w/index.php?title=Dealurile_Cri%C8%99ene&amp;action=edit&amp;redlink=1" \o "Dealurile Crișene — pagină inexistentă" </w:instrText>
      </w:r>
      <w:r>
        <w:fldChar w:fldCharType="separate"/>
      </w:r>
      <w:r>
        <w:rPr>
          <w:rStyle w:val="7"/>
          <w:color w:val="000000"/>
          <w:u w:val="none"/>
        </w:rPr>
        <w:t>Dealurile Crişene</w:t>
      </w:r>
      <w:r>
        <w:rPr>
          <w:rStyle w:val="7"/>
          <w:color w:val="000000"/>
          <w:u w:val="none"/>
        </w:rPr>
        <w:fldChar w:fldCharType="end"/>
      </w:r>
      <w:r>
        <w:rPr>
          <w:color w:val="000000"/>
        </w:rPr>
        <w:t xml:space="preserve">, </w:t>
      </w:r>
      <w:r>
        <w:fldChar w:fldCharType="begin"/>
      </w:r>
      <w:r>
        <w:instrText xml:space="preserve"> HYPERLINK "http://ro.wikipedia.org/w/index.php?title=Depresiunea_Beiu%C8%99&amp;action=edit&amp;redlink=1" \o "Depresiunea Beiuș — pagină inexistentă" </w:instrText>
      </w:r>
      <w:r>
        <w:fldChar w:fldCharType="separate"/>
      </w:r>
      <w:r>
        <w:rPr>
          <w:rStyle w:val="7"/>
          <w:color w:val="000000"/>
          <w:u w:val="none"/>
        </w:rPr>
        <w:t>Depresiunea Beiuş</w:t>
      </w:r>
      <w:r>
        <w:rPr>
          <w:rStyle w:val="7"/>
          <w:color w:val="000000"/>
          <w:u w:val="none"/>
        </w:rPr>
        <w:fldChar w:fldCharType="end"/>
      </w:r>
      <w:r>
        <w:rPr>
          <w:color w:val="000000"/>
        </w:rPr>
        <w:t>.</w:t>
      </w:r>
    </w:p>
    <w:p w14:paraId="5D478850">
      <w:pPr>
        <w:pStyle w:val="8"/>
        <w:spacing w:before="0" w:beforeAutospacing="0" w:after="0" w:afterAutospacing="0"/>
        <w:jc w:val="both"/>
      </w:pPr>
      <w:r>
        <w:t xml:space="preserve">               Relieful muntos al oraşului Vaşcău scoate în evidență altitudinea de 295 m.</w:t>
      </w:r>
    </w:p>
    <w:p w14:paraId="34E045EC">
      <w:pPr>
        <w:pStyle w:val="8"/>
        <w:spacing w:before="0" w:beforeAutospacing="0" w:after="0" w:afterAutospacing="0"/>
        <w:jc w:val="both"/>
      </w:pPr>
      <w:r>
        <w:t xml:space="preserve">              Cel mai reprezentativ este relieful dezvoltat pe roci carbonatice, care se suprapune peste Platoul Vaşcău, ce se înfățişează ca o cunună de depresiuni închise, lipsite de cursuri de apă. La marginea platoului se remarcă prezența rocilor impermeabile, care formează o cunună montană, cu Vf. Momuța (930 m) ca cel mai înalt punct altimetric.</w:t>
      </w:r>
    </w:p>
    <w:p w14:paraId="23BD1BE9">
      <w:pPr>
        <w:pStyle w:val="8"/>
        <w:spacing w:before="0" w:beforeAutospacing="0" w:after="0" w:afterAutospacing="0"/>
        <w:jc w:val="both"/>
      </w:pPr>
      <w:r>
        <w:t xml:space="preserve">             Platoul Vaşcău este sărac în ape permanente, ele pierzându-se în ponoare. Printre aceste văi se remarcă: valea Cohuri-Ponor, valea Ponoraş şi valea Recea. Cea mai semnificativă, ca debit şi lungime, este valea Pampăr, care vine de la Călugări, trece prin Izbuc, apoi se pierde într-o uriaşă gură de peşteră numită Cîmpeneasca (avenul are 35 m adâncime). După aproximativ 3 km de la gura peşterii, drum străbătut subteran de Pampăr, apa iese la suprafață la Vaşcău, într-un punct numit izvorul din Boiu.</w:t>
      </w:r>
    </w:p>
    <w:p w14:paraId="514BF7EA">
      <w:pPr>
        <w:pStyle w:val="8"/>
        <w:spacing w:before="0" w:beforeAutospacing="0" w:after="0" w:afterAutospacing="0"/>
        <w:jc w:val="both"/>
      </w:pPr>
      <w:r>
        <w:t xml:space="preserve">               Pe marginea Platoului Vaşcău sunt 2 izbucuri deosebite: unul în valea Brihenilor şi altul în hotarul localității Călugări. Izbucul de la Călugări, care în trecut avea dublă intermitență, în prezent are o singură intermitență, fiind declarat rezervație geologică naturală.</w:t>
      </w:r>
    </w:p>
    <w:p w14:paraId="3155B680">
      <w:pPr>
        <w:pStyle w:val="8"/>
        <w:spacing w:before="0" w:beforeAutospacing="0" w:after="0" w:afterAutospacing="0"/>
        <w:jc w:val="both"/>
      </w:pPr>
      <w:r>
        <w:t xml:space="preserve">              De-a lungul munților se întind Dealurile Crişene ca o treaptă prelungă a Munților Apuseni, având în interiorul Depresiunii Beiuşului o dispoziție în amfiteatru, rețeaua hidrografică fiind convergentă. Ele sunt rezultatul unui proces de eroziune asupra piemontului de acumulare de la baza Munților Apuseni, precum şi asupra unui strat de marne, argile, pietrişuri şi nisipuri.</w:t>
      </w:r>
    </w:p>
    <w:p w14:paraId="4B35035D">
      <w:pPr>
        <w:pStyle w:val="8"/>
        <w:spacing w:before="0" w:beforeAutospacing="0" w:after="0" w:afterAutospacing="0"/>
        <w:jc w:val="both"/>
      </w:pPr>
      <w:r>
        <w:t xml:space="preserve">            Din Dealul Curmăturii Criştiorului, prin culmea principală care trece din Dealul Mare prin Dealul Murgului, Dealurile Izbucului până la Dealurile Vaşcăului se prezintă sub forma unui lanț de culmi deluroase, între care amintim: Ronțaru (910 m – Coleşti), Cicera Ursului (900 m – Câmp), Merişor sau Porceasa (900 m – Câmp-Moți), Vf. Runcului (860 m – Briheni), Măgura Osoiului (620 m – Vaşcău).</w:t>
      </w:r>
    </w:p>
    <w:p w14:paraId="2434566D">
      <w:pPr>
        <w:pStyle w:val="8"/>
        <w:spacing w:before="0" w:beforeAutospacing="0" w:after="0" w:afterAutospacing="0"/>
        <w:jc w:val="both"/>
      </w:pPr>
      <w:r>
        <w:t xml:space="preserve">            Depresiunea Beiuşului este un rezultat al afundării formațiunilor de tip carpatic din partea de vest a Munților Apuseni. Văile sunt largi şi puțin adânci, favorizând aşezările umane. Aşa sunt: Valea lui Tieşu, Valea Rudăreasa, Valea Bălineasa.</w:t>
      </w:r>
    </w:p>
    <w:p w14:paraId="294C2BD4">
      <w:pPr>
        <w:pStyle w:val="8"/>
        <w:spacing w:before="0" w:beforeAutospacing="0" w:after="0" w:afterAutospacing="0"/>
        <w:jc w:val="both"/>
      </w:pPr>
      <w:r>
        <w:t xml:space="preserve">             În partea sudică a oraşului Vaşcăului, caracterizată prin prezența dealurilor piemontane ca o prelungire a Munților Codru-Moma, amintim câteva dintre aceste culmi deluroase:</w:t>
      </w:r>
    </w:p>
    <w:p w14:paraId="6E4010A7">
      <w:pPr>
        <w:numPr>
          <w:ilvl w:val="0"/>
          <w:numId w:val="1"/>
        </w:numPr>
        <w:spacing w:after="0" w:line="240" w:lineRule="auto"/>
        <w:rPr>
          <w:rFonts w:ascii="Times New Roman" w:hAnsi="Times New Roman"/>
          <w:sz w:val="24"/>
          <w:szCs w:val="24"/>
        </w:rPr>
      </w:pPr>
      <w:r>
        <w:rPr>
          <w:rFonts w:ascii="Times New Roman" w:hAnsi="Times New Roman"/>
          <w:sz w:val="24"/>
          <w:szCs w:val="24"/>
        </w:rPr>
        <w:t>Vârful Ronțarul (910 m – Coleşti)</w:t>
      </w:r>
    </w:p>
    <w:p w14:paraId="00F23AB6">
      <w:pPr>
        <w:numPr>
          <w:ilvl w:val="0"/>
          <w:numId w:val="1"/>
        </w:numPr>
        <w:spacing w:after="0" w:line="240" w:lineRule="auto"/>
        <w:rPr>
          <w:rFonts w:ascii="Times New Roman" w:hAnsi="Times New Roman"/>
          <w:sz w:val="24"/>
          <w:szCs w:val="24"/>
        </w:rPr>
      </w:pPr>
      <w:r>
        <w:rPr>
          <w:rFonts w:ascii="Times New Roman" w:hAnsi="Times New Roman"/>
          <w:sz w:val="24"/>
          <w:szCs w:val="24"/>
        </w:rPr>
        <w:t>Cicera Ursului (900 m – Câmp)</w:t>
      </w:r>
    </w:p>
    <w:p w14:paraId="18092FAE">
      <w:pPr>
        <w:numPr>
          <w:ilvl w:val="0"/>
          <w:numId w:val="1"/>
        </w:numPr>
        <w:spacing w:after="0" w:line="240" w:lineRule="auto"/>
        <w:rPr>
          <w:rFonts w:ascii="Times New Roman" w:hAnsi="Times New Roman"/>
          <w:sz w:val="24"/>
          <w:szCs w:val="24"/>
        </w:rPr>
      </w:pPr>
      <w:r>
        <w:rPr>
          <w:rFonts w:ascii="Times New Roman" w:hAnsi="Times New Roman"/>
          <w:sz w:val="24"/>
          <w:szCs w:val="24"/>
        </w:rPr>
        <w:t>Vărful Merişor/Porceasa (900 m)</w:t>
      </w:r>
    </w:p>
    <w:p w14:paraId="56F9400C">
      <w:pPr>
        <w:numPr>
          <w:ilvl w:val="0"/>
          <w:numId w:val="1"/>
        </w:numPr>
        <w:spacing w:after="0" w:line="240" w:lineRule="auto"/>
        <w:rPr>
          <w:rFonts w:ascii="Times New Roman" w:hAnsi="Times New Roman"/>
          <w:sz w:val="24"/>
          <w:szCs w:val="24"/>
        </w:rPr>
      </w:pPr>
      <w:r>
        <w:rPr>
          <w:rFonts w:ascii="Times New Roman" w:hAnsi="Times New Roman"/>
          <w:sz w:val="24"/>
          <w:szCs w:val="24"/>
        </w:rPr>
        <w:t>Cornet (650 m – Câmp)</w:t>
      </w:r>
    </w:p>
    <w:p w14:paraId="4032AF6C">
      <w:pPr>
        <w:numPr>
          <w:ilvl w:val="0"/>
          <w:numId w:val="1"/>
        </w:numPr>
        <w:spacing w:after="0" w:line="240" w:lineRule="auto"/>
        <w:rPr>
          <w:rFonts w:ascii="Times New Roman" w:hAnsi="Times New Roman"/>
          <w:sz w:val="24"/>
          <w:szCs w:val="24"/>
        </w:rPr>
      </w:pPr>
      <w:r>
        <w:rPr>
          <w:rFonts w:ascii="Times New Roman" w:hAnsi="Times New Roman"/>
          <w:sz w:val="24"/>
          <w:szCs w:val="24"/>
        </w:rPr>
        <w:t>Vârful Osoiu (620 m – Pleş).</w:t>
      </w:r>
    </w:p>
    <w:p w14:paraId="68501333">
      <w:pPr>
        <w:spacing w:after="0" w:line="240" w:lineRule="auto"/>
        <w:ind w:left="360"/>
        <w:rPr>
          <w:rFonts w:ascii="Times New Roman" w:hAnsi="Times New Roman"/>
          <w:sz w:val="24"/>
          <w:szCs w:val="24"/>
        </w:rPr>
      </w:pPr>
      <w:r>
        <w:rPr>
          <w:rFonts w:ascii="Times New Roman" w:hAnsi="Times New Roman"/>
          <w:sz w:val="24"/>
          <w:szCs w:val="24"/>
        </w:rPr>
        <w:t xml:space="preserve">       </w:t>
      </w:r>
    </w:p>
    <w:p w14:paraId="6EE4F6B2">
      <w:pPr>
        <w:pStyle w:val="8"/>
        <w:spacing w:before="0" w:beforeAutospacing="0" w:after="0" w:afterAutospacing="0"/>
      </w:pPr>
      <w:r>
        <w:t xml:space="preserve">            </w:t>
      </w:r>
    </w:p>
    <w:p w14:paraId="389EEC1D">
      <w:pPr>
        <w:pStyle w:val="8"/>
        <w:spacing w:before="0" w:beforeAutospacing="0" w:after="0" w:afterAutospacing="0"/>
        <w:ind w:left="720"/>
        <w:jc w:val="both"/>
        <w:rPr>
          <w:b/>
        </w:rPr>
      </w:pPr>
      <w:r>
        <w:rPr>
          <w:b/>
        </w:rPr>
        <w:t xml:space="preserve">Clima orașului Vașcău </w:t>
      </w:r>
    </w:p>
    <w:p w14:paraId="743CEDB0">
      <w:pPr>
        <w:pStyle w:val="8"/>
        <w:spacing w:before="0" w:beforeAutospacing="0" w:after="0" w:afterAutospacing="0"/>
        <w:ind w:left="720"/>
        <w:jc w:val="both"/>
      </w:pPr>
    </w:p>
    <w:p w14:paraId="17D5167F">
      <w:pPr>
        <w:pStyle w:val="8"/>
        <w:spacing w:before="0" w:beforeAutospacing="0" w:after="0" w:afterAutospacing="0"/>
        <w:ind w:firstLine="720"/>
        <w:jc w:val="both"/>
      </w:pPr>
      <w:r>
        <w:t>Regiunea Vasșcău are un climat temperat continental moderat, care rezultă din poziționarea în vestul Munților Apuseni, care se opun pătrunderii maselor de aer polar din direcție E, regiunea fiind sub influența aerului oceanic, umed și rece, determinând ca verile să fie călduroase și iernile nu foarte aspre, în văile dealurilor creându-se acumulări de aer rece, iar pe creștetul dealurilor acumulări de aer mai cald.</w:t>
      </w:r>
    </w:p>
    <w:p w14:paraId="5D2BD1D0">
      <w:pPr>
        <w:pStyle w:val="8"/>
        <w:spacing w:before="0" w:beforeAutospacing="0" w:after="0" w:afterAutospacing="0"/>
        <w:jc w:val="both"/>
      </w:pPr>
      <w:r>
        <w:t xml:space="preserve">            Temperatura medie anuală este de 9,8 °C în vatra depresiunii, de 7-8 °C în Munții Codru-Moma și de 2-7 °C în Munții Biharia. Temperatura medie lunară cea mai scăzută se înregistrează în luna ianuarie (-1,3 °C), iar cea mai ridicată este caracteristică lunii iulie (19,4 °C).</w:t>
      </w:r>
    </w:p>
    <w:p w14:paraId="76694233">
      <w:pPr>
        <w:pStyle w:val="8"/>
        <w:spacing w:before="0" w:beforeAutospacing="0" w:after="0" w:afterAutospacing="0"/>
        <w:jc w:val="both"/>
      </w:pPr>
      <w:r>
        <w:t xml:space="preserve">             Clima și microclima regiunii este influențată de particularitățile locale: orientarea culmilor muntoase și a povârnișurilor, adâncimea văilor, gradul de acoperire cu păduri, etc. Un rol deosebit îl constituie ascensiunea maselor de aer vestice pe pantele Munților Apuseni, care provoacă o mare varietate în valoarea și regimul factorilor climatici.</w:t>
      </w:r>
    </w:p>
    <w:p w14:paraId="2F916623">
      <w:pPr>
        <w:pStyle w:val="8"/>
        <w:spacing w:before="0" w:beforeAutospacing="0" w:after="0" w:afterAutospacing="0"/>
        <w:jc w:val="both"/>
      </w:pPr>
      <w:r>
        <w:t xml:space="preserve">              Media anuală a cantității de precipitații este de 700 mm în depresiune și 1000–1200 mm în regiunile munților joși. Nebulozitatea cea mai accentuată este în lunile de iarnă, aceasta scăzând spre lunile de vară (în august gradul de acoperire cu nori a cerului este de 4,2).</w:t>
      </w:r>
    </w:p>
    <w:p w14:paraId="363D16CB">
      <w:pPr>
        <w:pStyle w:val="8"/>
        <w:spacing w:before="0" w:beforeAutospacing="0" w:after="0" w:afterAutospacing="0"/>
        <w:jc w:val="both"/>
      </w:pPr>
      <w:r>
        <w:t xml:space="preserve">              Vânturile cele mai frecvente sunt cele de sud, urmate de cele vestice și de cele din sector nordic.</w:t>
      </w:r>
    </w:p>
    <w:p w14:paraId="0860306F">
      <w:pPr>
        <w:spacing w:after="0" w:line="240" w:lineRule="auto"/>
        <w:ind w:left="72" w:right="72" w:firstLine="648"/>
        <w:jc w:val="both"/>
        <w:rPr>
          <w:rFonts w:ascii="Times New Roman" w:hAnsi="Times New Roman" w:eastAsia="Times New Roman"/>
          <w:sz w:val="23"/>
          <w:szCs w:val="23"/>
          <w:shd w:val="clear" w:color="auto" w:fill="FFFFFF"/>
        </w:rPr>
      </w:pPr>
    </w:p>
    <w:p w14:paraId="020A0941">
      <w:pPr>
        <w:spacing w:after="0" w:line="240" w:lineRule="auto"/>
        <w:ind w:left="72" w:right="72" w:firstLine="648"/>
        <w:jc w:val="both"/>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F6789">
    <w:pPr>
      <w:pStyle w:val="5"/>
      <w:spacing w:after="0"/>
      <w:rPr>
        <w:lang w:val="ro-RO"/>
      </w:rPr>
    </w:pPr>
    <w:r>
      <w:rPr>
        <w:lang w:val="ro-RO"/>
      </w:rPr>
      <w:t xml:space="preserve">                            PREȘEDINTE  DE ȘEDINȚĂ                                                         CONTRASEMNEAZĂ</w:t>
    </w:r>
  </w:p>
  <w:p w14:paraId="25B18DE1">
    <w:pPr>
      <w:pStyle w:val="5"/>
      <w:spacing w:after="0"/>
      <w:rPr>
        <w:lang w:val="ro-RO"/>
      </w:rPr>
    </w:pPr>
    <w:r>
      <w:rPr>
        <w:lang w:val="ro-RO"/>
      </w:rPr>
      <w:t xml:space="preserve">                         LAZA  MATIUȚA  LIVIU                                                SECRETAR GENERAL UAT ORAȘ VAȘCĂU</w:t>
    </w:r>
  </w:p>
  <w:p w14:paraId="506BED62">
    <w:pPr>
      <w:pStyle w:val="5"/>
      <w:spacing w:after="0"/>
      <w:rPr>
        <w:lang w:val="ro-RO"/>
      </w:rPr>
    </w:pPr>
    <w:r>
      <w:rPr>
        <w:lang w:val="ro-RO"/>
      </w:rPr>
      <w:t xml:space="preserve">                                                                                                                                         Pop  Rodica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BBC7E">
    <w:pPr>
      <w:pStyle w:val="6"/>
    </w:pPr>
    <w:r>
      <w:rPr>
        <w:lang/>
      </w:rPr>
      <w:drawing>
        <wp:anchor distT="0" distB="0" distL="114300" distR="114300" simplePos="0" relativeHeight="251659264" behindDoc="0" locked="0" layoutInCell="1" allowOverlap="1">
          <wp:simplePos x="0" y="0"/>
          <wp:positionH relativeFrom="margin">
            <wp:posOffset>2656205</wp:posOffset>
          </wp:positionH>
          <wp:positionV relativeFrom="margin">
            <wp:posOffset>-1141095</wp:posOffset>
          </wp:positionV>
          <wp:extent cx="661035" cy="1007745"/>
          <wp:effectExtent l="0" t="0" r="5715" b="1905"/>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pic:cNvPicPr>
                </pic:nvPicPr>
                <pic:blipFill>
                  <a:blip r:embed="rId1"/>
                  <a:srcRect b="6015"/>
                  <a:stretch>
                    <a:fillRect/>
                  </a:stretch>
                </pic:blipFill>
                <pic:spPr>
                  <a:xfrm>
                    <a:off x="0" y="0"/>
                    <a:ext cx="661035" cy="1007745"/>
                  </a:xfrm>
                  <a:prstGeom prst="rect">
                    <a:avLst/>
                  </a:prstGeom>
                  <a:noFill/>
                  <a:ln>
                    <a:noFill/>
                  </a:ln>
                </pic:spPr>
              </pic:pic>
            </a:graphicData>
          </a:graphic>
        </wp:anchor>
      </w:drawing>
    </w:r>
  </w:p>
  <w:p w14:paraId="23240DAE">
    <w:pPr>
      <w:pStyle w:val="6"/>
    </w:pPr>
  </w:p>
  <w:p w14:paraId="05E2C13D">
    <w:pPr>
      <w:pStyle w:val="6"/>
    </w:pPr>
    <w:r>
      <w:t>CONSILIUL LOCAL AL ORAȘULUI VAȘCĂU                                               Anexa la HCL nr. 100/24.12.2021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2D6597"/>
    <w:multiLevelType w:val="multilevel"/>
    <w:tmpl w:val="602D659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5F"/>
    <w:rsid w:val="000321AE"/>
    <w:rsid w:val="000E21CE"/>
    <w:rsid w:val="001360B1"/>
    <w:rsid w:val="002A55B0"/>
    <w:rsid w:val="002F47F3"/>
    <w:rsid w:val="002F6C8C"/>
    <w:rsid w:val="003E2D5D"/>
    <w:rsid w:val="00474D19"/>
    <w:rsid w:val="00492DB4"/>
    <w:rsid w:val="005131B4"/>
    <w:rsid w:val="005A07CD"/>
    <w:rsid w:val="005F43E3"/>
    <w:rsid w:val="006376F8"/>
    <w:rsid w:val="006F752D"/>
    <w:rsid w:val="0072305F"/>
    <w:rsid w:val="00770F41"/>
    <w:rsid w:val="00853697"/>
    <w:rsid w:val="008C2F6B"/>
    <w:rsid w:val="008D4659"/>
    <w:rsid w:val="00930841"/>
    <w:rsid w:val="009470A9"/>
    <w:rsid w:val="00A409BA"/>
    <w:rsid w:val="00A502C2"/>
    <w:rsid w:val="00A76C77"/>
    <w:rsid w:val="00B90AEB"/>
    <w:rsid w:val="00C10035"/>
    <w:rsid w:val="00CB3E8D"/>
    <w:rsid w:val="00CF685E"/>
    <w:rsid w:val="00D26478"/>
    <w:rsid w:val="00DA5A68"/>
    <w:rsid w:val="00DE61A3"/>
    <w:rsid w:val="00DF2833"/>
    <w:rsid w:val="00E37D84"/>
    <w:rsid w:val="00E47D19"/>
    <w:rsid w:val="00F60A14"/>
    <w:rsid w:val="00F808E8"/>
    <w:rsid w:val="1BA704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paragraph" w:styleId="2">
    <w:name w:val="heading 3"/>
    <w:basedOn w:val="1"/>
    <w:link w:val="12"/>
    <w:qFormat/>
    <w:uiPriority w:val="0"/>
    <w:pPr>
      <w:spacing w:before="100" w:beforeAutospacing="1" w:after="100" w:afterAutospacing="1" w:line="240" w:lineRule="auto"/>
      <w:outlineLvl w:val="2"/>
    </w:pPr>
    <w:rPr>
      <w:rFonts w:ascii="Times New Roman" w:hAnsi="Times New Roman" w:eastAsia="Times New Roman" w:cs="Times New Roman"/>
      <w:b/>
      <w:bCs/>
      <w:sz w:val="27"/>
      <w:szCs w:val="27"/>
      <w:lang w:val="ro-RO" w:eastAsia="ro-RO"/>
    </w:rPr>
  </w:style>
  <w:style w:type="character" w:default="1" w:styleId="3">
    <w:name w:val="Default Paragraph Font"/>
    <w:semiHidden/>
    <w:unhideWhenUsed/>
    <w:uiPriority w:val="1"/>
  </w:style>
  <w:style w:type="table" w:default="1" w:styleId="4">
    <w:name w:val="Normal Table"/>
    <w:semiHidden/>
    <w:unhideWhenUsed/>
    <w:uiPriority w:val="99"/>
    <w:tblPr>
      <w:tblStyle w:val="4"/>
      <w:tblCellMar>
        <w:top w:w="0" w:type="dxa"/>
        <w:left w:w="108" w:type="dxa"/>
        <w:bottom w:w="0" w:type="dxa"/>
        <w:right w:w="108" w:type="dxa"/>
      </w:tblCellMar>
    </w:tblPr>
    <w:trPr>
      <w:wBefore w:w="0" w:type="dxa"/>
    </w:trPr>
  </w:style>
  <w:style w:type="paragraph" w:styleId="5">
    <w:name w:val="footer"/>
    <w:basedOn w:val="1"/>
    <w:link w:val="15"/>
    <w:unhideWhenUsed/>
    <w:uiPriority w:val="99"/>
    <w:pPr>
      <w:tabs>
        <w:tab w:val="center" w:pos="4680"/>
        <w:tab w:val="right" w:pos="9360"/>
      </w:tabs>
    </w:pPr>
  </w:style>
  <w:style w:type="paragraph" w:styleId="6">
    <w:name w:val="header"/>
    <w:basedOn w:val="1"/>
    <w:link w:val="14"/>
    <w:unhideWhenUsed/>
    <w:uiPriority w:val="99"/>
    <w:pPr>
      <w:tabs>
        <w:tab w:val="center" w:pos="4680"/>
        <w:tab w:val="right" w:pos="9360"/>
      </w:tabs>
    </w:pPr>
  </w:style>
  <w:style w:type="character" w:styleId="7">
    <w:name w:val="Hyperlink"/>
    <w:unhideWhenUsed/>
    <w:uiPriority w:val="0"/>
    <w:rPr>
      <w:color w:val="0000FF"/>
      <w:u w:val="single"/>
    </w:rPr>
  </w:style>
  <w:style w:type="paragraph" w:styleId="8">
    <w:name w:val="Normal (Web)"/>
    <w:basedOn w:val="1"/>
    <w:uiPriority w:val="0"/>
    <w:pPr>
      <w:spacing w:before="100" w:beforeAutospacing="1" w:after="100" w:afterAutospacing="1" w:line="240" w:lineRule="auto"/>
    </w:pPr>
    <w:rPr>
      <w:rFonts w:ascii="Times New Roman" w:hAnsi="Times New Roman" w:eastAsia="Times New Roman" w:cs="Times New Roman"/>
      <w:sz w:val="24"/>
      <w:szCs w:val="24"/>
      <w:lang w:val="ro-RO" w:eastAsia="ro-RO"/>
    </w:rPr>
  </w:style>
  <w:style w:type="paragraph" w:styleId="9">
    <w:name w:val="Normal Indent"/>
    <w:basedOn w:val="1"/>
    <w:semiHidden/>
    <w:unhideWhenUsed/>
    <w:uiPriority w:val="99"/>
    <w:pPr>
      <w:ind w:left="720"/>
    </w:pPr>
  </w:style>
  <w:style w:type="table" w:styleId="10">
    <w:name w:val="Table Grid"/>
    <w:basedOn w:val="4"/>
    <w:uiPriority w:val="39"/>
    <w:pPr>
      <w:spacing w:after="0" w:line="240" w:lineRule="auto"/>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aracter Caracter Char Char"/>
    <w:basedOn w:val="1"/>
    <w:next w:val="9"/>
    <w:uiPriority w:val="0"/>
    <w:pPr>
      <w:spacing w:line="240" w:lineRule="exact"/>
    </w:pPr>
    <w:rPr>
      <w:rFonts w:ascii="Tahoma" w:hAnsi="Tahoma" w:eastAsia="Times New Roman" w:cs="Times New Roman"/>
      <w:sz w:val="20"/>
      <w:szCs w:val="20"/>
    </w:rPr>
  </w:style>
  <w:style w:type="character" w:customStyle="1" w:styleId="12">
    <w:name w:val="Heading 3 Char"/>
    <w:link w:val="2"/>
    <w:uiPriority w:val="0"/>
    <w:rPr>
      <w:rFonts w:ascii="Times New Roman" w:hAnsi="Times New Roman" w:eastAsia="Times New Roman" w:cs="Times New Roman"/>
      <w:b/>
      <w:bCs/>
      <w:sz w:val="27"/>
      <w:szCs w:val="27"/>
      <w:lang w:val="ro-RO" w:eastAsia="ro-RO"/>
    </w:rPr>
  </w:style>
  <w:style w:type="character" w:customStyle="1" w:styleId="13">
    <w:name w:val="mw-headline"/>
    <w:basedOn w:val="3"/>
    <w:uiPriority w:val="0"/>
  </w:style>
  <w:style w:type="character" w:customStyle="1" w:styleId="14">
    <w:name w:val="Header Char"/>
    <w:link w:val="6"/>
    <w:uiPriority w:val="99"/>
    <w:rPr>
      <w:sz w:val="22"/>
      <w:szCs w:val="22"/>
    </w:rPr>
  </w:style>
  <w:style w:type="character" w:customStyle="1" w:styleId="15">
    <w:name w:val="Footer Char"/>
    <w:link w:val="5"/>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992</Words>
  <Characters>5501</Characters>
  <Lines>52</Lines>
  <Paragraphs>14</Paragraphs>
  <TotalTime>0</TotalTime>
  <ScaleCrop>false</ScaleCrop>
  <LinksUpToDate>false</LinksUpToDate>
  <CharactersWithSpaces>6774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2021-12-08T10:20:00Z</dcterms:created>
  <dc:creator>PC</dc:creator>
  <cp:lastModifiedBy>USER</cp:lastModifiedBy>
  <dcterms:modified xsi:type="dcterms:W3CDTF">2026-10-14T05:55:11Z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E2391022CB0F4586A018D9785CA12688_13</vt:lpwstr>
  </property>
</Properties>
</file>